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60D7D" w14:textId="77777777" w:rsidR="00C9187A" w:rsidRDefault="00C9187A">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0973" w:type="dxa"/>
        <w:jc w:val="center"/>
        <w:tblBorders>
          <w:top w:val="nil"/>
          <w:left w:val="nil"/>
          <w:bottom w:val="nil"/>
          <w:right w:val="nil"/>
          <w:insideH w:val="nil"/>
          <w:insideV w:val="nil"/>
        </w:tblBorders>
        <w:tblLayout w:type="fixed"/>
        <w:tblLook w:val="0400" w:firstRow="0" w:lastRow="0" w:firstColumn="0" w:lastColumn="0" w:noHBand="0" w:noVBand="1"/>
      </w:tblPr>
      <w:tblGrid>
        <w:gridCol w:w="8668"/>
        <w:gridCol w:w="2305"/>
      </w:tblGrid>
      <w:tr w:rsidR="00C9187A" w14:paraId="1BA81D82" w14:textId="77777777">
        <w:trPr>
          <w:trHeight w:val="260"/>
          <w:jc w:val="center"/>
        </w:trPr>
        <w:tc>
          <w:tcPr>
            <w:tcW w:w="10973" w:type="dxa"/>
            <w:gridSpan w:val="2"/>
          </w:tcPr>
          <w:p w14:paraId="58F0743D" w14:textId="77777777" w:rsidR="00C9187A" w:rsidRDefault="00052901">
            <w:pPr>
              <w:pBdr>
                <w:top w:val="nil"/>
                <w:left w:val="nil"/>
                <w:bottom w:val="nil"/>
                <w:right w:val="nil"/>
                <w:between w:val="nil"/>
              </w:pBdr>
              <w:tabs>
                <w:tab w:val="center" w:pos="4680"/>
                <w:tab w:val="right" w:pos="9360"/>
              </w:tabs>
              <w:jc w:val="center"/>
              <w:rPr>
                <w:b/>
                <w:color w:val="000000"/>
                <w:sz w:val="36"/>
                <w:szCs w:val="36"/>
              </w:rPr>
            </w:pPr>
            <w:r>
              <w:rPr>
                <w:b/>
                <w:color w:val="000000"/>
                <w:sz w:val="36"/>
                <w:szCs w:val="36"/>
              </w:rPr>
              <w:t>Teacher Professional Learning and Effectiveness System</w:t>
            </w:r>
          </w:p>
        </w:tc>
      </w:tr>
      <w:tr w:rsidR="00C9187A" w14:paraId="7B23196E" w14:textId="77777777">
        <w:trPr>
          <w:trHeight w:val="1060"/>
          <w:jc w:val="center"/>
        </w:trPr>
        <w:tc>
          <w:tcPr>
            <w:tcW w:w="8668" w:type="dxa"/>
            <w:vAlign w:val="center"/>
          </w:tcPr>
          <w:p w14:paraId="1B80B36F" w14:textId="77777777" w:rsidR="00C9187A" w:rsidRDefault="00052901">
            <w:pPr>
              <w:pBdr>
                <w:top w:val="nil"/>
                <w:left w:val="nil"/>
                <w:bottom w:val="nil"/>
                <w:right w:val="nil"/>
                <w:between w:val="nil"/>
              </w:pBdr>
              <w:tabs>
                <w:tab w:val="center" w:pos="4680"/>
                <w:tab w:val="right" w:pos="9360"/>
              </w:tabs>
              <w:jc w:val="center"/>
              <w:rPr>
                <w:b/>
                <w:i/>
                <w:color w:val="000000"/>
                <w:sz w:val="44"/>
                <w:szCs w:val="44"/>
              </w:rPr>
            </w:pPr>
            <w:r>
              <w:rPr>
                <w:b/>
                <w:i/>
                <w:color w:val="000000"/>
                <w:sz w:val="44"/>
                <w:szCs w:val="44"/>
              </w:rPr>
              <w:t>REMINDERS</w:t>
            </w:r>
            <w:r>
              <w:rPr>
                <w:noProof/>
              </w:rPr>
              <w:drawing>
                <wp:anchor distT="0" distB="0" distL="114300" distR="114300" simplePos="0" relativeHeight="251658240" behindDoc="0" locked="0" layoutInCell="1" hidden="0" allowOverlap="1" wp14:anchorId="23FEC231" wp14:editId="7F6C98D4">
                  <wp:simplePos x="0" y="0"/>
                  <wp:positionH relativeFrom="column">
                    <wp:posOffset>-3866513</wp:posOffset>
                  </wp:positionH>
                  <wp:positionV relativeFrom="paragraph">
                    <wp:posOffset>0</wp:posOffset>
                  </wp:positionV>
                  <wp:extent cx="2616200" cy="79184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616200" cy="791845"/>
                          </a:xfrm>
                          <a:prstGeom prst="rect">
                            <a:avLst/>
                          </a:prstGeom>
                          <a:ln/>
                        </pic:spPr>
                      </pic:pic>
                    </a:graphicData>
                  </a:graphic>
                </wp:anchor>
              </w:drawing>
            </w:r>
          </w:p>
        </w:tc>
        <w:tc>
          <w:tcPr>
            <w:tcW w:w="2305" w:type="dxa"/>
            <w:vAlign w:val="center"/>
          </w:tcPr>
          <w:p w14:paraId="33706D6F" w14:textId="77777777" w:rsidR="00C9187A" w:rsidRDefault="00052901">
            <w:pPr>
              <w:pBdr>
                <w:top w:val="nil"/>
                <w:left w:val="nil"/>
                <w:bottom w:val="nil"/>
                <w:right w:val="nil"/>
                <w:between w:val="nil"/>
              </w:pBdr>
              <w:tabs>
                <w:tab w:val="center" w:pos="4680"/>
                <w:tab w:val="right" w:pos="9360"/>
              </w:tabs>
              <w:rPr>
                <w:color w:val="000000"/>
                <w:sz w:val="44"/>
                <w:szCs w:val="44"/>
              </w:rPr>
            </w:pPr>
            <w:r>
              <w:rPr>
                <w:color w:val="000000"/>
                <w:sz w:val="32"/>
                <w:szCs w:val="32"/>
              </w:rPr>
              <w:t>February, 2019</w:t>
            </w:r>
          </w:p>
        </w:tc>
      </w:tr>
    </w:tbl>
    <w:p w14:paraId="0C939690" w14:textId="77777777" w:rsidR="00C9187A" w:rsidRDefault="00C9187A">
      <w:pPr>
        <w:rPr>
          <w:rFonts w:ascii="Arial" w:eastAsia="Arial" w:hAnsi="Arial" w:cs="Arial"/>
          <w:sz w:val="24"/>
          <w:szCs w:val="24"/>
        </w:rPr>
      </w:pPr>
    </w:p>
    <w:p w14:paraId="1503C0B2" w14:textId="77777777" w:rsidR="00C9187A" w:rsidRDefault="00052901">
      <w:pPr>
        <w:rPr>
          <w:rFonts w:ascii="Arial" w:eastAsia="Arial" w:hAnsi="Arial" w:cs="Arial"/>
          <w:sz w:val="24"/>
          <w:szCs w:val="24"/>
        </w:rPr>
      </w:pPr>
      <w:r>
        <w:rPr>
          <w:rFonts w:ascii="Arial" w:eastAsia="Arial" w:hAnsi="Arial" w:cs="Arial"/>
          <w:sz w:val="24"/>
          <w:szCs w:val="24"/>
        </w:rPr>
        <w:t xml:space="preserve">For those being evaluated this year using the Traditional format, you are right in the middle of the second round of observations. For </w:t>
      </w:r>
      <w:r>
        <w:rPr>
          <w:rFonts w:ascii="Arial" w:eastAsia="Arial" w:hAnsi="Arial" w:cs="Arial"/>
          <w:sz w:val="24"/>
          <w:szCs w:val="24"/>
          <w:u w:val="single"/>
        </w:rPr>
        <w:t>both</w:t>
      </w:r>
      <w:r>
        <w:rPr>
          <w:rFonts w:ascii="Arial" w:eastAsia="Arial" w:hAnsi="Arial" w:cs="Arial"/>
          <w:sz w:val="24"/>
          <w:szCs w:val="24"/>
        </w:rPr>
        <w:t xml:space="preserve"> Traditional and Alternative formats, your administrator will soon be asking to schedule your final evaluation conference.  With that in mind, we wanted to remind you that now is the perfect time to be updating Part Two of your Student and Professional Learning Objective (SLO/PLO).  In addition, your administrator will probably ask you to have your final reflection (Part Three) done before the final conference.</w:t>
      </w:r>
    </w:p>
    <w:p w14:paraId="4C0430D9" w14:textId="77777777" w:rsidR="00C9187A" w:rsidRDefault="00C9187A">
      <w:pPr>
        <w:jc w:val="center"/>
        <w:rPr>
          <w:rFonts w:ascii="Arial" w:eastAsia="Arial" w:hAnsi="Arial" w:cs="Arial"/>
          <w:b/>
          <w:sz w:val="20"/>
          <w:szCs w:val="20"/>
        </w:rPr>
      </w:pPr>
    </w:p>
    <w:p w14:paraId="57D2D9E9" w14:textId="77777777" w:rsidR="00C9187A" w:rsidRDefault="00052901">
      <w:pPr>
        <w:jc w:val="center"/>
        <w:rPr>
          <w:rFonts w:ascii="Arial" w:eastAsia="Arial" w:hAnsi="Arial" w:cs="Arial"/>
          <w:b/>
          <w:sz w:val="20"/>
          <w:szCs w:val="20"/>
        </w:rPr>
      </w:pPr>
      <w:r>
        <w:rPr>
          <w:rFonts w:ascii="Arial" w:eastAsia="Arial" w:hAnsi="Arial" w:cs="Arial"/>
          <w:b/>
          <w:sz w:val="20"/>
          <w:szCs w:val="20"/>
        </w:rPr>
        <w:t>REMINDER:  Part Two looks like this:</w:t>
      </w:r>
    </w:p>
    <w:p w14:paraId="4EFE9AC2" w14:textId="77777777" w:rsidR="00C9187A" w:rsidRDefault="00052901">
      <w:pPr>
        <w:jc w:val="center"/>
        <w:rPr>
          <w:rFonts w:ascii="Arial" w:eastAsia="Arial" w:hAnsi="Arial" w:cs="Arial"/>
          <w:sz w:val="24"/>
          <w:szCs w:val="24"/>
        </w:rPr>
      </w:pPr>
      <w:bookmarkStart w:id="1" w:name="_gjdgxs" w:colFirst="0" w:colLast="0"/>
      <w:bookmarkEnd w:id="1"/>
      <w:r>
        <w:rPr>
          <w:rFonts w:ascii="Arial" w:eastAsia="Arial" w:hAnsi="Arial" w:cs="Arial"/>
          <w:noProof/>
          <w:sz w:val="24"/>
          <w:szCs w:val="24"/>
        </w:rPr>
        <w:drawing>
          <wp:inline distT="0" distB="0" distL="0" distR="0" wp14:anchorId="043004B7" wp14:editId="41319228">
            <wp:extent cx="7040880" cy="1439145"/>
            <wp:effectExtent l="0" t="0" r="0" b="0"/>
            <wp:docPr id="3" name="image3.png" descr="C:\Users\sjoyner\Desktop\part 2.PNG"/>
            <wp:cNvGraphicFramePr/>
            <a:graphic xmlns:a="http://schemas.openxmlformats.org/drawingml/2006/main">
              <a:graphicData uri="http://schemas.openxmlformats.org/drawingml/2006/picture">
                <pic:pic xmlns:pic="http://schemas.openxmlformats.org/drawingml/2006/picture">
                  <pic:nvPicPr>
                    <pic:cNvPr id="0" name="image3.png" descr="C:\Users\sjoyner\Desktop\part 2.PNG"/>
                    <pic:cNvPicPr preferRelativeResize="0"/>
                  </pic:nvPicPr>
                  <pic:blipFill>
                    <a:blip r:embed="rId6"/>
                    <a:srcRect/>
                    <a:stretch>
                      <a:fillRect/>
                    </a:stretch>
                  </pic:blipFill>
                  <pic:spPr>
                    <a:xfrm>
                      <a:off x="0" y="0"/>
                      <a:ext cx="7040880" cy="1439145"/>
                    </a:xfrm>
                    <a:prstGeom prst="rect">
                      <a:avLst/>
                    </a:prstGeom>
                    <a:ln/>
                  </pic:spPr>
                </pic:pic>
              </a:graphicData>
            </a:graphic>
          </wp:inline>
        </w:drawing>
      </w:r>
    </w:p>
    <w:p w14:paraId="1883D986" w14:textId="77777777" w:rsidR="00C9187A" w:rsidRDefault="00052901">
      <w:pPr>
        <w:jc w:val="center"/>
        <w:rPr>
          <w:rFonts w:ascii="Arial" w:eastAsia="Arial" w:hAnsi="Arial" w:cs="Arial"/>
          <w:b/>
          <w:sz w:val="20"/>
          <w:szCs w:val="20"/>
        </w:rPr>
      </w:pPr>
      <w:bookmarkStart w:id="2" w:name="_30j0zll" w:colFirst="0" w:colLast="0"/>
      <w:bookmarkEnd w:id="2"/>
      <w:r>
        <w:rPr>
          <w:rFonts w:ascii="Arial" w:eastAsia="Arial" w:hAnsi="Arial" w:cs="Arial"/>
          <w:b/>
          <w:sz w:val="20"/>
          <w:szCs w:val="20"/>
        </w:rPr>
        <w:t xml:space="preserve">REMINDER:  Here are some </w:t>
      </w:r>
      <w:r>
        <w:rPr>
          <w:rFonts w:ascii="Arial" w:eastAsia="Arial" w:hAnsi="Arial" w:cs="Arial"/>
          <w:b/>
          <w:sz w:val="20"/>
          <w:szCs w:val="20"/>
          <w:u w:val="single"/>
        </w:rPr>
        <w:t>examples</w:t>
      </w:r>
      <w:r>
        <w:rPr>
          <w:rFonts w:ascii="Arial" w:eastAsia="Arial" w:hAnsi="Arial" w:cs="Arial"/>
          <w:b/>
          <w:sz w:val="20"/>
          <w:szCs w:val="20"/>
        </w:rPr>
        <w:t xml:space="preserve"> of things to document.  You don’t have to write an essay; bullet points are fine to remind you of what you want to talk about in your conference with your administrator.</w:t>
      </w:r>
    </w:p>
    <w:tbl>
      <w:tblPr>
        <w:tblStyle w:val="a0"/>
        <w:tblW w:w="115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3690"/>
        <w:gridCol w:w="4140"/>
      </w:tblGrid>
      <w:tr w:rsidR="00C9187A" w14:paraId="793187FA" w14:textId="77777777">
        <w:trPr>
          <w:trHeight w:val="640"/>
        </w:trPr>
        <w:tc>
          <w:tcPr>
            <w:tcW w:w="3690" w:type="dxa"/>
          </w:tcPr>
          <w:p w14:paraId="153CA361" w14:textId="77777777" w:rsidR="00C9187A" w:rsidRDefault="00052901">
            <w:pPr>
              <w:numPr>
                <w:ilvl w:val="0"/>
                <w:numId w:val="1"/>
              </w:numPr>
              <w:pBdr>
                <w:top w:val="nil"/>
                <w:left w:val="nil"/>
                <w:bottom w:val="nil"/>
                <w:right w:val="nil"/>
                <w:between w:val="nil"/>
              </w:pBdr>
              <w:spacing w:line="276" w:lineRule="auto"/>
              <w:ind w:left="165" w:hanging="165"/>
              <w:rPr>
                <w:color w:val="000000"/>
                <w:sz w:val="20"/>
                <w:szCs w:val="20"/>
              </w:rPr>
            </w:pPr>
            <w:r>
              <w:rPr>
                <w:rFonts w:ascii="Arial" w:eastAsia="Arial" w:hAnsi="Arial" w:cs="Arial"/>
                <w:color w:val="000000"/>
                <w:sz w:val="20"/>
                <w:szCs w:val="20"/>
              </w:rPr>
              <w:t>10/20/17</w:t>
            </w:r>
          </w:p>
          <w:p w14:paraId="52546E78" w14:textId="77777777" w:rsidR="00C9187A" w:rsidRDefault="00052901">
            <w:pPr>
              <w:pBdr>
                <w:top w:val="nil"/>
                <w:left w:val="nil"/>
                <w:bottom w:val="nil"/>
                <w:right w:val="nil"/>
                <w:between w:val="nil"/>
              </w:pBdr>
              <w:spacing w:after="200" w:line="276" w:lineRule="auto"/>
              <w:ind w:left="165" w:hanging="165"/>
              <w:rPr>
                <w:rFonts w:ascii="Arial" w:eastAsia="Arial" w:hAnsi="Arial" w:cs="Arial"/>
                <w:color w:val="000000"/>
                <w:sz w:val="20"/>
                <w:szCs w:val="20"/>
              </w:rPr>
            </w:pPr>
            <w:r>
              <w:rPr>
                <w:rFonts w:ascii="Arial" w:eastAsia="Arial" w:hAnsi="Arial" w:cs="Arial"/>
                <w:color w:val="000000"/>
                <w:sz w:val="20"/>
                <w:szCs w:val="20"/>
              </w:rPr>
              <w:t>Post observation with ____</w:t>
            </w:r>
          </w:p>
        </w:tc>
        <w:tc>
          <w:tcPr>
            <w:tcW w:w="3690" w:type="dxa"/>
          </w:tcPr>
          <w:p w14:paraId="0C1ECE35" w14:textId="77777777" w:rsidR="00C9187A" w:rsidRDefault="00052901">
            <w:pPr>
              <w:numPr>
                <w:ilvl w:val="0"/>
                <w:numId w:val="1"/>
              </w:numPr>
              <w:pBdr>
                <w:top w:val="nil"/>
                <w:left w:val="nil"/>
                <w:bottom w:val="nil"/>
                <w:right w:val="nil"/>
                <w:between w:val="nil"/>
              </w:pBdr>
              <w:spacing w:after="200" w:line="276" w:lineRule="auto"/>
              <w:ind w:left="166" w:hanging="166"/>
              <w:rPr>
                <w:color w:val="000000"/>
                <w:sz w:val="20"/>
                <w:szCs w:val="20"/>
              </w:rPr>
            </w:pPr>
            <w:r>
              <w:rPr>
                <w:rFonts w:ascii="Arial" w:eastAsia="Arial" w:hAnsi="Arial" w:cs="Arial"/>
                <w:color w:val="000000"/>
                <w:sz w:val="20"/>
                <w:szCs w:val="20"/>
              </w:rPr>
              <w:t>Tried pair share suggestion</w:t>
            </w:r>
          </w:p>
        </w:tc>
        <w:tc>
          <w:tcPr>
            <w:tcW w:w="4140" w:type="dxa"/>
          </w:tcPr>
          <w:p w14:paraId="14D98E37" w14:textId="77777777" w:rsidR="00C9187A" w:rsidRDefault="00052901">
            <w:pPr>
              <w:numPr>
                <w:ilvl w:val="0"/>
                <w:numId w:val="1"/>
              </w:numPr>
              <w:pBdr>
                <w:top w:val="nil"/>
                <w:left w:val="nil"/>
                <w:bottom w:val="nil"/>
                <w:right w:val="nil"/>
                <w:between w:val="nil"/>
              </w:pBdr>
              <w:spacing w:after="200" w:line="276" w:lineRule="auto"/>
              <w:ind w:left="166" w:hanging="166"/>
              <w:rPr>
                <w:color w:val="000000"/>
                <w:sz w:val="20"/>
                <w:szCs w:val="20"/>
              </w:rPr>
            </w:pPr>
            <w:r>
              <w:rPr>
                <w:rFonts w:ascii="Arial" w:eastAsia="Arial" w:hAnsi="Arial" w:cs="Arial"/>
                <w:color w:val="000000"/>
                <w:sz w:val="20"/>
                <w:szCs w:val="20"/>
              </w:rPr>
              <w:t>Noticed increase in participation in whole group discussion overall (see participation data sheet)</w:t>
            </w:r>
          </w:p>
        </w:tc>
      </w:tr>
      <w:tr w:rsidR="00C9187A" w14:paraId="31462537" w14:textId="77777777">
        <w:tc>
          <w:tcPr>
            <w:tcW w:w="3690" w:type="dxa"/>
          </w:tcPr>
          <w:p w14:paraId="7C3A8444" w14:textId="77777777" w:rsidR="00C9187A" w:rsidRDefault="00052901">
            <w:pPr>
              <w:numPr>
                <w:ilvl w:val="0"/>
                <w:numId w:val="1"/>
              </w:numPr>
              <w:pBdr>
                <w:top w:val="nil"/>
                <w:left w:val="nil"/>
                <w:bottom w:val="nil"/>
                <w:right w:val="nil"/>
                <w:between w:val="nil"/>
              </w:pBdr>
              <w:spacing w:line="276" w:lineRule="auto"/>
              <w:ind w:left="165" w:hanging="165"/>
              <w:rPr>
                <w:color w:val="000000"/>
                <w:sz w:val="20"/>
                <w:szCs w:val="20"/>
              </w:rPr>
            </w:pPr>
            <w:r>
              <w:rPr>
                <w:rFonts w:ascii="Arial" w:eastAsia="Arial" w:hAnsi="Arial" w:cs="Arial"/>
                <w:color w:val="000000"/>
                <w:sz w:val="20"/>
                <w:szCs w:val="20"/>
              </w:rPr>
              <w:t>2/1/18</w:t>
            </w:r>
          </w:p>
          <w:p w14:paraId="6BF12E0B" w14:textId="77777777" w:rsidR="00C9187A" w:rsidRDefault="00052901">
            <w:pPr>
              <w:pBdr>
                <w:top w:val="nil"/>
                <w:left w:val="nil"/>
                <w:bottom w:val="nil"/>
                <w:right w:val="nil"/>
                <w:between w:val="nil"/>
              </w:pBdr>
              <w:spacing w:line="276" w:lineRule="auto"/>
              <w:ind w:left="165" w:hanging="165"/>
              <w:rPr>
                <w:rFonts w:ascii="Arial" w:eastAsia="Arial" w:hAnsi="Arial" w:cs="Arial"/>
                <w:color w:val="000000"/>
                <w:sz w:val="20"/>
                <w:szCs w:val="20"/>
              </w:rPr>
            </w:pPr>
            <w:r>
              <w:rPr>
                <w:rFonts w:ascii="Arial" w:eastAsia="Arial" w:hAnsi="Arial" w:cs="Arial"/>
                <w:color w:val="000000"/>
                <w:sz w:val="20"/>
                <w:szCs w:val="20"/>
              </w:rPr>
              <w:t>Peer observation with ____</w:t>
            </w:r>
          </w:p>
          <w:p w14:paraId="1E805A41" w14:textId="77777777" w:rsidR="00C9187A" w:rsidRDefault="00C9187A">
            <w:pPr>
              <w:pBdr>
                <w:top w:val="nil"/>
                <w:left w:val="nil"/>
                <w:bottom w:val="nil"/>
                <w:right w:val="nil"/>
                <w:between w:val="nil"/>
              </w:pBdr>
              <w:spacing w:after="200" w:line="276" w:lineRule="auto"/>
              <w:ind w:left="165" w:hanging="165"/>
              <w:rPr>
                <w:rFonts w:ascii="Arial" w:eastAsia="Arial" w:hAnsi="Arial" w:cs="Arial"/>
                <w:color w:val="000000"/>
                <w:sz w:val="24"/>
                <w:szCs w:val="24"/>
              </w:rPr>
            </w:pPr>
          </w:p>
        </w:tc>
        <w:tc>
          <w:tcPr>
            <w:tcW w:w="3690" w:type="dxa"/>
          </w:tcPr>
          <w:p w14:paraId="3D1325A3" w14:textId="77777777" w:rsidR="00C9187A" w:rsidRDefault="00052901">
            <w:pPr>
              <w:numPr>
                <w:ilvl w:val="0"/>
                <w:numId w:val="1"/>
              </w:numPr>
              <w:pBdr>
                <w:top w:val="nil"/>
                <w:left w:val="nil"/>
                <w:bottom w:val="nil"/>
                <w:right w:val="nil"/>
                <w:between w:val="nil"/>
              </w:pBdr>
              <w:spacing w:after="200" w:line="276" w:lineRule="auto"/>
              <w:ind w:left="166" w:hanging="166"/>
              <w:rPr>
                <w:color w:val="000000"/>
                <w:sz w:val="20"/>
                <w:szCs w:val="20"/>
              </w:rPr>
            </w:pPr>
            <w:r>
              <w:rPr>
                <w:rFonts w:ascii="Arial" w:eastAsia="Arial" w:hAnsi="Arial" w:cs="Arial"/>
                <w:color w:val="000000"/>
                <w:sz w:val="20"/>
                <w:szCs w:val="20"/>
              </w:rPr>
              <w:t>He provided feedback on DOK-prewrote questions in advance</w:t>
            </w:r>
          </w:p>
        </w:tc>
        <w:tc>
          <w:tcPr>
            <w:tcW w:w="4140" w:type="dxa"/>
          </w:tcPr>
          <w:p w14:paraId="2297B6A2" w14:textId="77777777" w:rsidR="00C9187A" w:rsidRDefault="00052901">
            <w:pPr>
              <w:numPr>
                <w:ilvl w:val="0"/>
                <w:numId w:val="1"/>
              </w:numPr>
              <w:pBdr>
                <w:top w:val="nil"/>
                <w:left w:val="nil"/>
                <w:bottom w:val="nil"/>
                <w:right w:val="nil"/>
                <w:between w:val="nil"/>
              </w:pBdr>
              <w:spacing w:after="200" w:line="276" w:lineRule="auto"/>
              <w:ind w:left="166" w:hanging="166"/>
              <w:rPr>
                <w:color w:val="000000"/>
                <w:sz w:val="20"/>
                <w:szCs w:val="20"/>
              </w:rPr>
            </w:pPr>
            <w:r>
              <w:rPr>
                <w:rFonts w:ascii="Arial" w:eastAsia="Arial" w:hAnsi="Arial" w:cs="Arial"/>
                <w:color w:val="000000"/>
                <w:sz w:val="20"/>
                <w:szCs w:val="20"/>
              </w:rPr>
              <w:t>Questions at all levels used.  Next will try writing student initials beside questions to differentiate?</w:t>
            </w:r>
          </w:p>
        </w:tc>
      </w:tr>
      <w:tr w:rsidR="00C9187A" w14:paraId="38511338" w14:textId="77777777">
        <w:tc>
          <w:tcPr>
            <w:tcW w:w="3690" w:type="dxa"/>
          </w:tcPr>
          <w:p w14:paraId="6B0E89F1" w14:textId="77777777" w:rsidR="00C9187A" w:rsidRDefault="00052901">
            <w:pPr>
              <w:numPr>
                <w:ilvl w:val="0"/>
                <w:numId w:val="1"/>
              </w:numPr>
              <w:pBdr>
                <w:top w:val="nil"/>
                <w:left w:val="nil"/>
                <w:bottom w:val="nil"/>
                <w:right w:val="nil"/>
                <w:between w:val="nil"/>
              </w:pBdr>
              <w:spacing w:line="276" w:lineRule="auto"/>
              <w:ind w:left="165" w:hanging="165"/>
              <w:rPr>
                <w:color w:val="000000"/>
                <w:sz w:val="20"/>
                <w:szCs w:val="20"/>
              </w:rPr>
            </w:pPr>
            <w:r>
              <w:rPr>
                <w:rFonts w:ascii="Arial" w:eastAsia="Arial" w:hAnsi="Arial" w:cs="Arial"/>
                <w:color w:val="000000"/>
                <w:sz w:val="20"/>
                <w:szCs w:val="20"/>
              </w:rPr>
              <w:t>3/15/18</w:t>
            </w:r>
          </w:p>
          <w:p w14:paraId="27CED006" w14:textId="77777777" w:rsidR="00C9187A" w:rsidRDefault="00052901">
            <w:pPr>
              <w:pBdr>
                <w:top w:val="nil"/>
                <w:left w:val="nil"/>
                <w:bottom w:val="nil"/>
                <w:right w:val="nil"/>
                <w:between w:val="nil"/>
              </w:pBdr>
              <w:spacing w:line="276" w:lineRule="auto"/>
              <w:ind w:left="165" w:hanging="165"/>
              <w:rPr>
                <w:rFonts w:ascii="Arial" w:eastAsia="Arial" w:hAnsi="Arial" w:cs="Arial"/>
                <w:color w:val="000000"/>
                <w:sz w:val="20"/>
                <w:szCs w:val="20"/>
              </w:rPr>
            </w:pPr>
            <w:r>
              <w:rPr>
                <w:rFonts w:ascii="Arial" w:eastAsia="Arial" w:hAnsi="Arial" w:cs="Arial"/>
                <w:color w:val="000000"/>
                <w:sz w:val="20"/>
                <w:szCs w:val="20"/>
              </w:rPr>
              <w:t>Video observation feedback</w:t>
            </w:r>
          </w:p>
          <w:p w14:paraId="440F3831" w14:textId="77777777" w:rsidR="00C9187A" w:rsidRDefault="00C9187A">
            <w:pPr>
              <w:pBdr>
                <w:top w:val="nil"/>
                <w:left w:val="nil"/>
                <w:bottom w:val="nil"/>
                <w:right w:val="nil"/>
                <w:between w:val="nil"/>
              </w:pBdr>
              <w:spacing w:after="200" w:line="276" w:lineRule="auto"/>
              <w:ind w:left="165" w:hanging="165"/>
              <w:rPr>
                <w:rFonts w:ascii="Arial" w:eastAsia="Arial" w:hAnsi="Arial" w:cs="Arial"/>
                <w:color w:val="000000"/>
                <w:sz w:val="20"/>
                <w:szCs w:val="20"/>
              </w:rPr>
            </w:pPr>
          </w:p>
        </w:tc>
        <w:tc>
          <w:tcPr>
            <w:tcW w:w="3690" w:type="dxa"/>
          </w:tcPr>
          <w:p w14:paraId="16EB8A9E" w14:textId="77777777" w:rsidR="00C9187A" w:rsidRDefault="00052901">
            <w:pPr>
              <w:numPr>
                <w:ilvl w:val="0"/>
                <w:numId w:val="1"/>
              </w:numPr>
              <w:pBdr>
                <w:top w:val="nil"/>
                <w:left w:val="nil"/>
                <w:bottom w:val="nil"/>
                <w:right w:val="nil"/>
                <w:between w:val="nil"/>
              </w:pBdr>
              <w:spacing w:after="200" w:line="276" w:lineRule="auto"/>
              <w:ind w:left="166" w:hanging="166"/>
              <w:rPr>
                <w:color w:val="000000"/>
                <w:sz w:val="20"/>
                <w:szCs w:val="20"/>
              </w:rPr>
            </w:pPr>
            <w:r>
              <w:rPr>
                <w:rFonts w:ascii="Arial" w:eastAsia="Arial" w:hAnsi="Arial" w:cs="Arial"/>
                <w:color w:val="000000"/>
                <w:sz w:val="20"/>
                <w:szCs w:val="20"/>
              </w:rPr>
              <w:t>My peer suggested group role and responsibility training for group tasks; shared resources; Implemented group roles; practiced on math task</w:t>
            </w:r>
          </w:p>
        </w:tc>
        <w:tc>
          <w:tcPr>
            <w:tcW w:w="4140" w:type="dxa"/>
          </w:tcPr>
          <w:p w14:paraId="65318891" w14:textId="77777777" w:rsidR="00C9187A" w:rsidRDefault="00052901">
            <w:pPr>
              <w:numPr>
                <w:ilvl w:val="0"/>
                <w:numId w:val="1"/>
              </w:numPr>
              <w:pBdr>
                <w:top w:val="nil"/>
                <w:left w:val="nil"/>
                <w:bottom w:val="nil"/>
                <w:right w:val="nil"/>
                <w:between w:val="nil"/>
              </w:pBdr>
              <w:spacing w:after="200" w:line="276" w:lineRule="auto"/>
              <w:ind w:left="166" w:hanging="166"/>
              <w:rPr>
                <w:color w:val="000000"/>
                <w:sz w:val="20"/>
                <w:szCs w:val="20"/>
              </w:rPr>
            </w:pPr>
            <w:r>
              <w:rPr>
                <w:rFonts w:ascii="Arial" w:eastAsia="Arial" w:hAnsi="Arial" w:cs="Arial"/>
                <w:color w:val="000000"/>
                <w:sz w:val="20"/>
                <w:szCs w:val="20"/>
              </w:rPr>
              <w:t>Student participation and on task behavior was much higher; rotation of roles allowed all students to experience different leadership tasks=equity</w:t>
            </w:r>
          </w:p>
        </w:tc>
      </w:tr>
      <w:tr w:rsidR="00C9187A" w14:paraId="5087DC02" w14:textId="77777777">
        <w:tc>
          <w:tcPr>
            <w:tcW w:w="3690" w:type="dxa"/>
          </w:tcPr>
          <w:p w14:paraId="195B1E71" w14:textId="77777777" w:rsidR="00C9187A" w:rsidRDefault="00052901">
            <w:pPr>
              <w:numPr>
                <w:ilvl w:val="0"/>
                <w:numId w:val="1"/>
              </w:numPr>
              <w:pBdr>
                <w:top w:val="nil"/>
                <w:left w:val="nil"/>
                <w:bottom w:val="nil"/>
                <w:right w:val="nil"/>
                <w:between w:val="nil"/>
              </w:pBdr>
              <w:spacing w:line="276" w:lineRule="auto"/>
              <w:ind w:left="165" w:hanging="165"/>
              <w:rPr>
                <w:color w:val="000000"/>
                <w:sz w:val="20"/>
                <w:szCs w:val="20"/>
              </w:rPr>
            </w:pPr>
            <w:r>
              <w:rPr>
                <w:rFonts w:ascii="Arial" w:eastAsia="Arial" w:hAnsi="Arial" w:cs="Arial"/>
                <w:color w:val="000000"/>
                <w:sz w:val="20"/>
                <w:szCs w:val="20"/>
              </w:rPr>
              <w:t>Team/Department meeting- 1 per trimester</w:t>
            </w:r>
          </w:p>
          <w:p w14:paraId="57AB9962" w14:textId="77777777" w:rsidR="00C9187A" w:rsidRDefault="00C9187A">
            <w:pPr>
              <w:pBdr>
                <w:top w:val="nil"/>
                <w:left w:val="nil"/>
                <w:bottom w:val="nil"/>
                <w:right w:val="nil"/>
                <w:between w:val="nil"/>
              </w:pBdr>
              <w:spacing w:after="200" w:line="276" w:lineRule="auto"/>
              <w:ind w:left="165" w:hanging="165"/>
              <w:rPr>
                <w:rFonts w:ascii="Arial" w:eastAsia="Arial" w:hAnsi="Arial" w:cs="Arial"/>
                <w:color w:val="000000"/>
                <w:sz w:val="20"/>
                <w:szCs w:val="20"/>
              </w:rPr>
            </w:pPr>
          </w:p>
        </w:tc>
        <w:tc>
          <w:tcPr>
            <w:tcW w:w="3690" w:type="dxa"/>
          </w:tcPr>
          <w:p w14:paraId="6D28379D" w14:textId="77777777" w:rsidR="00C9187A" w:rsidRDefault="00052901">
            <w:pPr>
              <w:numPr>
                <w:ilvl w:val="0"/>
                <w:numId w:val="1"/>
              </w:numPr>
              <w:pBdr>
                <w:top w:val="nil"/>
                <w:left w:val="nil"/>
                <w:bottom w:val="nil"/>
                <w:right w:val="nil"/>
                <w:between w:val="nil"/>
              </w:pBdr>
              <w:spacing w:after="200" w:line="276" w:lineRule="auto"/>
              <w:ind w:left="166" w:hanging="166"/>
              <w:rPr>
                <w:color w:val="000000"/>
                <w:sz w:val="20"/>
                <w:szCs w:val="20"/>
              </w:rPr>
            </w:pPr>
            <w:r>
              <w:rPr>
                <w:rFonts w:ascii="Arial" w:eastAsia="Arial" w:hAnsi="Arial" w:cs="Arial"/>
                <w:color w:val="000000"/>
                <w:sz w:val="20"/>
                <w:szCs w:val="20"/>
              </w:rPr>
              <w:t>Common assessment administered to students; did pass around grading with rubric for calibration</w:t>
            </w:r>
          </w:p>
        </w:tc>
        <w:tc>
          <w:tcPr>
            <w:tcW w:w="4140" w:type="dxa"/>
          </w:tcPr>
          <w:p w14:paraId="3AEA7B45" w14:textId="77777777" w:rsidR="00C9187A" w:rsidRDefault="00052901">
            <w:pPr>
              <w:numPr>
                <w:ilvl w:val="0"/>
                <w:numId w:val="1"/>
              </w:numPr>
              <w:pBdr>
                <w:top w:val="nil"/>
                <w:left w:val="nil"/>
                <w:bottom w:val="nil"/>
                <w:right w:val="nil"/>
                <w:between w:val="nil"/>
              </w:pBdr>
              <w:spacing w:after="200" w:line="276" w:lineRule="auto"/>
              <w:ind w:left="166" w:hanging="166"/>
              <w:rPr>
                <w:color w:val="000000"/>
                <w:sz w:val="20"/>
                <w:szCs w:val="20"/>
              </w:rPr>
            </w:pPr>
            <w:r>
              <w:rPr>
                <w:rFonts w:ascii="Arial" w:eastAsia="Arial" w:hAnsi="Arial" w:cs="Arial"/>
                <w:color w:val="000000"/>
                <w:sz w:val="20"/>
                <w:szCs w:val="20"/>
              </w:rPr>
              <w:t xml:space="preserve">Grade level expectations clear; agreed on teaching points for next trimester to improve overall scores  </w:t>
            </w:r>
          </w:p>
        </w:tc>
      </w:tr>
      <w:tr w:rsidR="00C9187A" w14:paraId="62ACB3EA" w14:textId="77777777">
        <w:tc>
          <w:tcPr>
            <w:tcW w:w="11520" w:type="dxa"/>
            <w:gridSpan w:val="3"/>
          </w:tcPr>
          <w:p w14:paraId="07101FAF" w14:textId="77777777" w:rsidR="00C9187A" w:rsidRDefault="0005290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Other examples of “Action Research”:  Online:  Teaching Channel Video, Online Edutopia, Educational Leadership Journal,</w:t>
            </w:r>
          </w:p>
          <w:p w14:paraId="109C1FB8" w14:textId="77777777" w:rsidR="00C9187A" w:rsidRDefault="0005290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TLC:  Growth Mindset, Master’s class: Data use for equity, Benchmark PL session, Presentation from </w:t>
            </w:r>
            <w:proofErr w:type="spellStart"/>
            <w:r>
              <w:rPr>
                <w:rFonts w:ascii="Arial" w:eastAsia="Arial" w:hAnsi="Arial" w:cs="Arial"/>
                <w:color w:val="000000"/>
                <w:sz w:val="20"/>
                <w:szCs w:val="20"/>
              </w:rPr>
              <w:t>Rt</w:t>
            </w:r>
            <w:r>
              <w:rPr>
                <w:rFonts w:ascii="Arial" w:eastAsia="Arial" w:hAnsi="Arial" w:cs="Arial"/>
                <w:sz w:val="20"/>
                <w:szCs w:val="20"/>
              </w:rPr>
              <w:t>I</w:t>
            </w:r>
            <w:proofErr w:type="spellEnd"/>
            <w:r>
              <w:rPr>
                <w:rFonts w:ascii="Arial" w:eastAsia="Arial" w:hAnsi="Arial" w:cs="Arial"/>
                <w:color w:val="000000"/>
                <w:sz w:val="20"/>
                <w:szCs w:val="20"/>
              </w:rPr>
              <w:t xml:space="preserve"> TOSA, Observed colleague in department, NGSS activity at staff meeting, SDCOE presentation on technology, XPloration Collaboration Day </w:t>
            </w:r>
          </w:p>
          <w:p w14:paraId="50799096" w14:textId="77777777" w:rsidR="00C9187A" w:rsidRDefault="00C9187A">
            <w:pPr>
              <w:pBdr>
                <w:top w:val="nil"/>
                <w:left w:val="nil"/>
                <w:bottom w:val="nil"/>
                <w:right w:val="nil"/>
                <w:between w:val="nil"/>
              </w:pBdr>
              <w:rPr>
                <w:rFonts w:ascii="Arial" w:eastAsia="Arial" w:hAnsi="Arial" w:cs="Arial"/>
                <w:color w:val="000000"/>
                <w:sz w:val="20"/>
                <w:szCs w:val="20"/>
              </w:rPr>
            </w:pPr>
          </w:p>
        </w:tc>
      </w:tr>
    </w:tbl>
    <w:p w14:paraId="167F07A7" w14:textId="77777777" w:rsidR="00C9187A" w:rsidRDefault="00C9187A">
      <w:pPr>
        <w:jc w:val="center"/>
        <w:rPr>
          <w:rFonts w:ascii="Arial" w:eastAsia="Arial" w:hAnsi="Arial" w:cs="Arial"/>
          <w:b/>
          <w:sz w:val="24"/>
          <w:szCs w:val="24"/>
        </w:rPr>
      </w:pPr>
    </w:p>
    <w:p w14:paraId="22555DDF" w14:textId="77777777" w:rsidR="00C9187A" w:rsidRDefault="00C9187A">
      <w:pPr>
        <w:jc w:val="center"/>
        <w:rPr>
          <w:rFonts w:ascii="Arial" w:eastAsia="Arial" w:hAnsi="Arial" w:cs="Arial"/>
          <w:b/>
          <w:sz w:val="24"/>
          <w:szCs w:val="24"/>
        </w:rPr>
      </w:pPr>
    </w:p>
    <w:p w14:paraId="3FFF0370" w14:textId="77777777" w:rsidR="00C9187A" w:rsidRDefault="00C9187A">
      <w:pPr>
        <w:jc w:val="center"/>
        <w:rPr>
          <w:rFonts w:ascii="Arial" w:eastAsia="Arial" w:hAnsi="Arial" w:cs="Arial"/>
          <w:b/>
          <w:sz w:val="24"/>
          <w:szCs w:val="24"/>
        </w:rPr>
      </w:pPr>
    </w:p>
    <w:p w14:paraId="3533A7D8" w14:textId="77777777" w:rsidR="00C9187A" w:rsidRDefault="00052901">
      <w:pPr>
        <w:jc w:val="center"/>
        <w:rPr>
          <w:rFonts w:ascii="Arial" w:eastAsia="Arial" w:hAnsi="Arial" w:cs="Arial"/>
          <w:b/>
          <w:sz w:val="24"/>
          <w:szCs w:val="24"/>
        </w:rPr>
      </w:pPr>
      <w:r>
        <w:rPr>
          <w:rFonts w:ascii="Arial" w:eastAsia="Arial" w:hAnsi="Arial" w:cs="Arial"/>
          <w:b/>
          <w:sz w:val="24"/>
          <w:szCs w:val="24"/>
        </w:rPr>
        <w:t>REMINDER:  Part Three looks like this:</w:t>
      </w:r>
    </w:p>
    <w:p w14:paraId="19BAE03D" w14:textId="77777777" w:rsidR="00C9187A" w:rsidRDefault="00052901">
      <w:pPr>
        <w:jc w:val="center"/>
        <w:rPr>
          <w:rFonts w:ascii="Arial" w:eastAsia="Arial" w:hAnsi="Arial" w:cs="Arial"/>
          <w:b/>
          <w:sz w:val="24"/>
          <w:szCs w:val="24"/>
        </w:rPr>
      </w:pPr>
      <w:r>
        <w:rPr>
          <w:rFonts w:ascii="Arial" w:eastAsia="Arial" w:hAnsi="Arial" w:cs="Arial"/>
          <w:b/>
          <w:noProof/>
          <w:sz w:val="24"/>
          <w:szCs w:val="24"/>
        </w:rPr>
        <w:drawing>
          <wp:inline distT="0" distB="0" distL="0" distR="0" wp14:anchorId="25C0F2C8" wp14:editId="762EABDC">
            <wp:extent cx="7040880" cy="1439347"/>
            <wp:effectExtent l="0" t="0" r="0" b="0"/>
            <wp:docPr id="2" name="image2.png" descr="C:\Users\sjoyner\Desktop\part 3.PNG"/>
            <wp:cNvGraphicFramePr/>
            <a:graphic xmlns:a="http://schemas.openxmlformats.org/drawingml/2006/main">
              <a:graphicData uri="http://schemas.openxmlformats.org/drawingml/2006/picture">
                <pic:pic xmlns:pic="http://schemas.openxmlformats.org/drawingml/2006/picture">
                  <pic:nvPicPr>
                    <pic:cNvPr id="0" name="image2.png" descr="C:\Users\sjoyner\Desktop\part 3.PNG"/>
                    <pic:cNvPicPr preferRelativeResize="0"/>
                  </pic:nvPicPr>
                  <pic:blipFill>
                    <a:blip r:embed="rId7"/>
                    <a:srcRect/>
                    <a:stretch>
                      <a:fillRect/>
                    </a:stretch>
                  </pic:blipFill>
                  <pic:spPr>
                    <a:xfrm>
                      <a:off x="0" y="0"/>
                      <a:ext cx="7040880" cy="1439347"/>
                    </a:xfrm>
                    <a:prstGeom prst="rect">
                      <a:avLst/>
                    </a:prstGeom>
                    <a:ln/>
                  </pic:spPr>
                </pic:pic>
              </a:graphicData>
            </a:graphic>
          </wp:inline>
        </w:drawing>
      </w:r>
    </w:p>
    <w:p w14:paraId="313944AD" w14:textId="77777777" w:rsidR="00C9187A" w:rsidRDefault="00052901">
      <w:pPr>
        <w:jc w:val="center"/>
        <w:rPr>
          <w:rFonts w:ascii="Arial" w:eastAsia="Arial" w:hAnsi="Arial" w:cs="Arial"/>
          <w:sz w:val="24"/>
          <w:szCs w:val="24"/>
        </w:rPr>
      </w:pPr>
      <w:r>
        <w:rPr>
          <w:rFonts w:ascii="Arial" w:eastAsia="Arial" w:hAnsi="Arial" w:cs="Arial"/>
          <w:sz w:val="24"/>
          <w:szCs w:val="24"/>
        </w:rPr>
        <w:t>Use your final reflection as an opportunity to highlight specific areas that you focused on and new strategies you tried in this year.  Use it as an opportunity to explain or share things that may not have been observed during a classroom observation.</w:t>
      </w:r>
    </w:p>
    <w:p w14:paraId="7D0C6361" w14:textId="77777777" w:rsidR="00C9187A" w:rsidRDefault="00C9187A">
      <w:pPr>
        <w:jc w:val="center"/>
        <w:rPr>
          <w:rFonts w:ascii="Arial" w:eastAsia="Arial" w:hAnsi="Arial" w:cs="Arial"/>
          <w:sz w:val="20"/>
          <w:szCs w:val="20"/>
        </w:rPr>
      </w:pPr>
    </w:p>
    <w:p w14:paraId="5F4D8BD4" w14:textId="77777777" w:rsidR="00C9187A" w:rsidRDefault="00052901">
      <w:pPr>
        <w:jc w:val="center"/>
        <w:rPr>
          <w:rFonts w:ascii="Arial" w:eastAsia="Arial" w:hAnsi="Arial" w:cs="Arial"/>
          <w:b/>
          <w:sz w:val="24"/>
          <w:szCs w:val="24"/>
        </w:rPr>
      </w:pPr>
      <w:r>
        <w:rPr>
          <w:rFonts w:ascii="Arial" w:eastAsia="Arial" w:hAnsi="Arial" w:cs="Arial"/>
          <w:b/>
          <w:sz w:val="24"/>
          <w:szCs w:val="24"/>
        </w:rPr>
        <w:t>REMINDER:  TPLES TLC participants:</w:t>
      </w:r>
    </w:p>
    <w:p w14:paraId="3CFA2D24" w14:textId="77777777" w:rsidR="00C9187A" w:rsidRDefault="00052901">
      <w:pPr>
        <w:jc w:val="center"/>
        <w:rPr>
          <w:rFonts w:ascii="Arial" w:eastAsia="Arial" w:hAnsi="Arial" w:cs="Arial"/>
          <w:sz w:val="24"/>
          <w:szCs w:val="24"/>
        </w:rPr>
      </w:pPr>
      <w:r>
        <w:rPr>
          <w:rFonts w:ascii="Arial" w:eastAsia="Arial" w:hAnsi="Arial" w:cs="Arial"/>
          <w:sz w:val="24"/>
          <w:szCs w:val="24"/>
        </w:rPr>
        <w:t>The final assignment to earn your TLC points requires submission of parts 2 and 3 of your SLO/PLO by April 30.  Remember when you submitted a link to your SLO/PLO as a Google doc to the discussion board in October? If you’re updating the same document, you won’t have to submit anything new.      The link to your Google doc will include all updates!</w:t>
      </w:r>
    </w:p>
    <w:p w14:paraId="64A291D9" w14:textId="77777777" w:rsidR="00C9187A" w:rsidRDefault="00052901">
      <w:pPr>
        <w:jc w:val="center"/>
        <w:rPr>
          <w:rFonts w:ascii="Arial" w:eastAsia="Arial" w:hAnsi="Arial" w:cs="Arial"/>
          <w:sz w:val="24"/>
          <w:szCs w:val="24"/>
        </w:rPr>
      </w:pPr>
      <w:r>
        <w:rPr>
          <w:rFonts w:ascii="Arial" w:eastAsia="Arial" w:hAnsi="Arial" w:cs="Arial"/>
          <w:sz w:val="24"/>
          <w:szCs w:val="24"/>
        </w:rPr>
        <w:t>If you are unsure that the link you submitted is correct, check your discussion board post.</w:t>
      </w:r>
    </w:p>
    <w:p w14:paraId="4BC20E85" w14:textId="77777777" w:rsidR="00C9187A" w:rsidRDefault="00C9187A">
      <w:pPr>
        <w:jc w:val="center"/>
        <w:rPr>
          <w:rFonts w:ascii="Arial" w:eastAsia="Arial" w:hAnsi="Arial" w:cs="Arial"/>
          <w:sz w:val="24"/>
          <w:szCs w:val="24"/>
        </w:rPr>
      </w:pPr>
    </w:p>
    <w:p w14:paraId="6EB3D23D" w14:textId="77777777" w:rsidR="00C9187A" w:rsidRDefault="00052901">
      <w:pPr>
        <w:jc w:val="center"/>
        <w:rPr>
          <w:rFonts w:ascii="Arial" w:eastAsia="Arial" w:hAnsi="Arial" w:cs="Arial"/>
          <w:sz w:val="24"/>
          <w:szCs w:val="24"/>
        </w:rPr>
      </w:pPr>
      <w:r>
        <w:rPr>
          <w:rFonts w:ascii="Arial" w:eastAsia="Arial" w:hAnsi="Arial" w:cs="Arial"/>
          <w:sz w:val="24"/>
          <w:szCs w:val="24"/>
        </w:rPr>
        <w:t>For questions or additional support, contact:</w:t>
      </w:r>
    </w:p>
    <w:p w14:paraId="03956AC5" w14:textId="77777777" w:rsidR="00C9187A" w:rsidRDefault="00052901">
      <w:pPr>
        <w:jc w:val="center"/>
        <w:rPr>
          <w:rFonts w:ascii="Arial" w:eastAsia="Arial" w:hAnsi="Arial" w:cs="Arial"/>
          <w:sz w:val="24"/>
          <w:szCs w:val="24"/>
        </w:rPr>
      </w:pPr>
      <w:r>
        <w:rPr>
          <w:rFonts w:ascii="Arial" w:eastAsia="Arial" w:hAnsi="Arial" w:cs="Arial"/>
          <w:sz w:val="24"/>
          <w:szCs w:val="24"/>
        </w:rPr>
        <w:t xml:space="preserve">Susan Joyner </w:t>
      </w:r>
    </w:p>
    <w:p w14:paraId="162DBDBE" w14:textId="77777777" w:rsidR="00C9187A" w:rsidRDefault="00052901">
      <w:pPr>
        <w:jc w:val="center"/>
        <w:rPr>
          <w:rFonts w:ascii="Arial" w:eastAsia="Arial" w:hAnsi="Arial" w:cs="Arial"/>
          <w:sz w:val="24"/>
          <w:szCs w:val="24"/>
        </w:rPr>
      </w:pPr>
      <w:r>
        <w:rPr>
          <w:rFonts w:ascii="Arial" w:eastAsia="Arial" w:hAnsi="Arial" w:cs="Arial"/>
          <w:sz w:val="24"/>
          <w:szCs w:val="24"/>
        </w:rPr>
        <w:t>sjoyner@powayusd.com</w:t>
      </w:r>
    </w:p>
    <w:p w14:paraId="73D4E202" w14:textId="77777777" w:rsidR="00C9187A" w:rsidRDefault="00C9187A">
      <w:pPr>
        <w:jc w:val="center"/>
        <w:rPr>
          <w:rFonts w:ascii="Arial" w:eastAsia="Arial" w:hAnsi="Arial" w:cs="Arial"/>
          <w:sz w:val="24"/>
          <w:szCs w:val="24"/>
        </w:rPr>
      </w:pPr>
    </w:p>
    <w:p w14:paraId="48EF6B93" w14:textId="77777777" w:rsidR="00C9187A" w:rsidRDefault="00C9187A">
      <w:pPr>
        <w:jc w:val="center"/>
        <w:rPr>
          <w:rFonts w:ascii="Arial" w:eastAsia="Arial" w:hAnsi="Arial" w:cs="Arial"/>
          <w:sz w:val="20"/>
          <w:szCs w:val="20"/>
        </w:rPr>
      </w:pPr>
    </w:p>
    <w:sectPr w:rsidR="00C9187A">
      <w:pgSz w:w="12240" w:h="15840"/>
      <w:pgMar w:top="432" w:right="432"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01B0F"/>
    <w:multiLevelType w:val="multilevel"/>
    <w:tmpl w:val="6F14D4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7A"/>
    <w:rsid w:val="00052901"/>
    <w:rsid w:val="001D5815"/>
    <w:rsid w:val="00C91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7BDD"/>
  <w15:docId w15:val="{D32D78B3-D587-43C2-8405-14087481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Poway USD</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Joyner, Susan</dc:creator>
  <cp:lastModifiedBy>Kelly Logan</cp:lastModifiedBy>
  <cp:revision>2</cp:revision>
  <dcterms:created xsi:type="dcterms:W3CDTF">2019-02-27T17:26:00Z</dcterms:created>
  <dcterms:modified xsi:type="dcterms:W3CDTF">2019-02-27T17:26:00Z</dcterms:modified>
</cp:coreProperties>
</file>